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ind/>
        <w:jc w:val="center"/>
        <w:rPr>
          <w:b w:val="1"/>
          <w:sz w:val="26"/>
        </w:rPr>
      </w:pPr>
      <w:r>
        <w:rPr>
          <w:b w:val="1"/>
          <w:sz w:val="26"/>
        </w:rPr>
        <w:t>ПОЯСНИТЕЛЬНАЯ ЗАПИСКА</w:t>
      </w:r>
    </w:p>
    <w:p w14:paraId="02000000">
      <w:pPr>
        <w:pStyle w:val="Style_1"/>
        <w:widowControl w:val="1"/>
        <w:ind/>
        <w:jc w:val="center"/>
        <w:rPr>
          <w:sz w:val="26"/>
        </w:rPr>
      </w:pPr>
    </w:p>
    <w:p w14:paraId="03000000">
      <w:pPr>
        <w:pStyle w:val="Style_1"/>
        <w:widowControl w:val="1"/>
        <w:ind/>
        <w:jc w:val="center"/>
        <w:rPr>
          <w:sz w:val="26"/>
        </w:rPr>
      </w:pPr>
      <w:r>
        <w:rPr>
          <w:sz w:val="26"/>
        </w:rPr>
        <w:t>к проекту постановления Администрации города Великие Луки</w:t>
      </w:r>
    </w:p>
    <w:p w14:paraId="04000000">
      <w:pPr>
        <w:pStyle w:val="Style_1"/>
        <w:widowControl w:val="1"/>
        <w:ind/>
        <w:jc w:val="center"/>
        <w:rPr>
          <w:sz w:val="26"/>
        </w:rPr>
      </w:pPr>
      <w:r>
        <w:rPr>
          <w:sz w:val="26"/>
        </w:rPr>
        <w:t xml:space="preserve">«О внесении изменений в постановление Администрации города Великие Луки от </w:t>
      </w:r>
      <w:r>
        <w:rPr>
          <w:sz w:val="26"/>
        </w:rPr>
        <w:t>27</w:t>
      </w:r>
      <w:r>
        <w:rPr>
          <w:sz w:val="26"/>
        </w:rPr>
        <w:t>.12.2024 № 3</w:t>
      </w:r>
      <w:r>
        <w:rPr>
          <w:sz w:val="26"/>
        </w:rPr>
        <w:t>787</w:t>
      </w:r>
      <w:r>
        <w:rPr>
          <w:sz w:val="26"/>
        </w:rPr>
        <w:t xml:space="preserve"> «Об утверждении муниципальной программы «</w:t>
      </w:r>
      <w:r>
        <w:rPr>
          <w:sz w:val="26"/>
        </w:rPr>
        <w:t>Профилактика правонарушений, противодействие коррупции, экстремистской и террористической деятельности в городе Великие Луки»</w:t>
      </w:r>
    </w:p>
    <w:p w14:paraId="05000000">
      <w:pPr>
        <w:pStyle w:val="Style_1"/>
        <w:widowControl w:val="1"/>
        <w:ind/>
        <w:jc w:val="both"/>
        <w:rPr>
          <w:sz w:val="26"/>
        </w:rPr>
      </w:pPr>
    </w:p>
    <w:p w14:paraId="06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Муниципальная программа «</w:t>
      </w:r>
      <w:r>
        <w:rPr>
          <w:sz w:val="26"/>
        </w:rPr>
        <w:t>Профилактика правонарушений, противодействие коррупции, экстремистской и террористической деятельности в городе Великие Луки»</w:t>
      </w:r>
      <w:r>
        <w:rPr>
          <w:sz w:val="26"/>
        </w:rPr>
        <w:t xml:space="preserve"> (далее - Программа) утверждена постановлением Администрации города Великие Луки от </w:t>
      </w:r>
      <w:r>
        <w:rPr>
          <w:sz w:val="26"/>
        </w:rPr>
        <w:t>27.</w:t>
      </w:r>
      <w:r>
        <w:rPr>
          <w:sz w:val="26"/>
        </w:rPr>
        <w:t>12.2024 № 3</w:t>
      </w:r>
      <w:r>
        <w:rPr>
          <w:sz w:val="26"/>
        </w:rPr>
        <w:t>787</w:t>
      </w:r>
      <w:r>
        <w:rPr>
          <w:sz w:val="26"/>
        </w:rPr>
        <w:t>.</w:t>
      </w:r>
    </w:p>
    <w:p w14:paraId="07000000">
      <w:pPr>
        <w:widowControl w:val="1"/>
        <w:ind w:firstLine="708" w:right="140"/>
        <w:jc w:val="both"/>
        <w:rPr>
          <w:sz w:val="26"/>
        </w:rPr>
      </w:pPr>
      <w:r>
        <w:rPr>
          <w:sz w:val="26"/>
        </w:rPr>
        <w:t>Данным проектом предусматривается приведение объемов финансирования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муниципальной программы в соответствие с </w:t>
      </w:r>
      <w:r>
        <w:rPr>
          <w:sz w:val="26"/>
        </w:rPr>
        <w:t>Решением Великолукской городской Думы от 28.11.2025 № 125 «О внесении изменений и дополнений в решение Великолукской городской Думы № 128 от 20.12.2024 «О бюджете муниципального образования «Город Великие Луки» на 2025 год и плановый период 2026 и 2027 годов», а также уточняются объемы финансирования программы на 2026-2030 гг. согласно проекта бюджета на 2026 год и плановый период 2027-2028 гг.</w:t>
      </w:r>
    </w:p>
    <w:p w14:paraId="08000000">
      <w:pPr>
        <w:pStyle w:val="Style_1"/>
        <w:widowControl w:val="1"/>
        <w:ind w:firstLine="567"/>
        <w:jc w:val="both"/>
        <w:rPr>
          <w:sz w:val="26"/>
        </w:rPr>
      </w:pPr>
      <w:r>
        <w:rPr>
          <w:sz w:val="26"/>
        </w:rPr>
        <w:t>Ответственным исполнителем муниципальной программы является управление по профилактике правонарушений Администрации города Великие Луки.</w:t>
      </w:r>
    </w:p>
    <w:p w14:paraId="09000000">
      <w:pPr>
        <w:pStyle w:val="Style_1"/>
        <w:widowControl w:val="1"/>
        <w:ind w:firstLine="567"/>
        <w:jc w:val="both"/>
        <w:rPr>
          <w:sz w:val="26"/>
        </w:rPr>
      </w:pPr>
      <w:r>
        <w:rPr>
          <w:sz w:val="26"/>
        </w:rPr>
        <w:t xml:space="preserve">Финансирование мероприятий по программе предусматривается за счет средств местного и областного бюджетов. </w:t>
      </w:r>
    </w:p>
    <w:p w14:paraId="0A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Общий объем ресурсного обеспечения Программы</w:t>
      </w:r>
      <w:r>
        <w:rPr>
          <w:sz w:val="26"/>
        </w:rPr>
        <w:t xml:space="preserve"> </w:t>
      </w:r>
      <w:r>
        <w:rPr>
          <w:sz w:val="26"/>
        </w:rPr>
        <w:t>у</w:t>
      </w:r>
      <w:r>
        <w:rPr>
          <w:sz w:val="26"/>
        </w:rPr>
        <w:t xml:space="preserve">величивается </w:t>
      </w:r>
      <w:r>
        <w:rPr>
          <w:sz w:val="26"/>
        </w:rPr>
        <w:t xml:space="preserve">на сумму </w:t>
      </w:r>
      <w:r>
        <w:rPr>
          <w:sz w:val="26"/>
        </w:rPr>
        <w:t>39 646,5</w:t>
      </w:r>
      <w:r>
        <w:rPr>
          <w:sz w:val="26"/>
        </w:rPr>
        <w:t xml:space="preserve"> тыс.руб. (с </w:t>
      </w:r>
      <w:r>
        <w:rPr>
          <w:sz w:val="26"/>
        </w:rPr>
        <w:t>165 917,3</w:t>
      </w:r>
      <w:r>
        <w:rPr>
          <w:sz w:val="26"/>
        </w:rPr>
        <w:t xml:space="preserve"> тыс.руб. до </w:t>
      </w:r>
      <w:bookmarkStart w:id="1" w:name="_Hlk193985257"/>
      <w:r>
        <w:rPr>
          <w:sz w:val="26"/>
        </w:rPr>
        <w:t>205 563,8</w:t>
      </w:r>
      <w:r>
        <w:rPr>
          <w:sz w:val="26"/>
        </w:rPr>
        <w:t xml:space="preserve"> тыс.руб</w:t>
      </w:r>
      <w:bookmarkEnd w:id="1"/>
      <w:r>
        <w:rPr>
          <w:sz w:val="26"/>
        </w:rPr>
        <w:t>.), в том числе: средства городского бюджета у</w:t>
      </w:r>
      <w:r>
        <w:rPr>
          <w:sz w:val="26"/>
        </w:rPr>
        <w:t xml:space="preserve">величиваются на </w:t>
      </w:r>
      <w:r>
        <w:rPr>
          <w:sz w:val="26"/>
        </w:rPr>
        <w:t>38 303,4</w:t>
      </w:r>
      <w:r>
        <w:rPr>
          <w:sz w:val="26"/>
        </w:rPr>
        <w:t xml:space="preserve"> тыс.руб. (</w:t>
      </w:r>
      <w:r>
        <w:rPr>
          <w:sz w:val="26"/>
        </w:rPr>
        <w:t xml:space="preserve">с </w:t>
      </w:r>
      <w:r>
        <w:rPr>
          <w:sz w:val="26"/>
        </w:rPr>
        <w:t>165 485,3</w:t>
      </w:r>
      <w:r>
        <w:rPr>
          <w:sz w:val="26"/>
        </w:rPr>
        <w:t xml:space="preserve"> тыс.руб. до </w:t>
      </w:r>
      <w:r>
        <w:rPr>
          <w:sz w:val="26"/>
        </w:rPr>
        <w:t>203</w:t>
      </w:r>
      <w:r>
        <w:rPr>
          <w:sz w:val="26"/>
        </w:rPr>
        <w:t xml:space="preserve"> тыс.руб.)</w:t>
      </w:r>
      <w:r>
        <w:rPr>
          <w:sz w:val="26"/>
        </w:rPr>
        <w:t>, средства областного бюджета увеличены на 1 343,1 тыс.руб (с 432,0 тыс.руб. до 1 775,1 тыс.руб.)</w:t>
      </w:r>
    </w:p>
    <w:p w14:paraId="0B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В рамках комплекса процессных мероприятий </w:t>
      </w:r>
      <w:r>
        <w:rPr>
          <w:sz w:val="26"/>
        </w:rPr>
        <w:t xml:space="preserve">«Создание условий для антитеррористической защищенности» </w:t>
      </w:r>
      <w:r>
        <w:rPr>
          <w:sz w:val="26"/>
        </w:rPr>
        <w:t>общий объем ресурсного обеспечения у</w:t>
      </w:r>
      <w:r>
        <w:rPr>
          <w:sz w:val="26"/>
        </w:rPr>
        <w:t>величивается</w:t>
      </w:r>
      <w:r>
        <w:rPr>
          <w:sz w:val="26"/>
        </w:rPr>
        <w:t xml:space="preserve"> на </w:t>
      </w:r>
      <w:r>
        <w:rPr>
          <w:sz w:val="26"/>
        </w:rPr>
        <w:t>33 611,2</w:t>
      </w:r>
      <w:r>
        <w:rPr>
          <w:sz w:val="26"/>
        </w:rPr>
        <w:t xml:space="preserve"> </w:t>
      </w:r>
      <w:r>
        <w:rPr>
          <w:sz w:val="26"/>
        </w:rPr>
        <w:t xml:space="preserve">тыс.руб. (с </w:t>
      </w:r>
      <w:r>
        <w:rPr>
          <w:sz w:val="26"/>
        </w:rPr>
        <w:t>153 975,4</w:t>
      </w:r>
      <w:r>
        <w:rPr>
          <w:sz w:val="26"/>
        </w:rPr>
        <w:t xml:space="preserve"> тыс.руб. до </w:t>
      </w:r>
      <w:r>
        <w:rPr>
          <w:sz w:val="26"/>
        </w:rPr>
        <w:t>187 586,6</w:t>
      </w:r>
      <w:r>
        <w:rPr>
          <w:sz w:val="26"/>
        </w:rPr>
        <w:t xml:space="preserve"> тыс.руб.)</w:t>
      </w:r>
      <w:r>
        <w:rPr>
          <w:sz w:val="26"/>
        </w:rPr>
        <w:t xml:space="preserve"> </w:t>
      </w:r>
      <w:bookmarkStart w:id="2" w:name="_Hlk193984510"/>
      <w:r>
        <w:rPr>
          <w:sz w:val="26"/>
        </w:rPr>
        <w:t>за счет средств городского бюджета.</w:t>
      </w:r>
      <w:r>
        <w:rPr>
          <w:sz w:val="26"/>
        </w:rPr>
        <w:t xml:space="preserve"> </w:t>
      </w:r>
    </w:p>
    <w:p w14:paraId="0C000000">
      <w:pPr>
        <w:pStyle w:val="Style_1"/>
        <w:widowControl w:val="1"/>
        <w:ind w:firstLine="708"/>
        <w:jc w:val="both"/>
        <w:rPr>
          <w:sz w:val="26"/>
        </w:rPr>
      </w:pPr>
      <w:bookmarkEnd w:id="2"/>
      <w:r>
        <w:rPr>
          <w:sz w:val="26"/>
        </w:rPr>
        <w:t>Данное у</w:t>
      </w:r>
      <w:r>
        <w:rPr>
          <w:sz w:val="26"/>
        </w:rPr>
        <w:t xml:space="preserve">величение </w:t>
      </w:r>
      <w:r>
        <w:rPr>
          <w:sz w:val="26"/>
        </w:rPr>
        <w:t xml:space="preserve">обусловлено </w:t>
      </w:r>
      <w:r>
        <w:rPr>
          <w:sz w:val="26"/>
        </w:rPr>
        <w:t xml:space="preserve">выделением средств на </w:t>
      </w:r>
      <w:r>
        <w:rPr>
          <w:sz w:val="26"/>
        </w:rPr>
        <w:t>установк</w:t>
      </w:r>
      <w:r>
        <w:rPr>
          <w:sz w:val="26"/>
        </w:rPr>
        <w:t>у</w:t>
      </w:r>
      <w:r>
        <w:rPr>
          <w:sz w:val="26"/>
        </w:rPr>
        <w:t xml:space="preserve"> оборудования системы экстренного оповещения о ЧС, модернизаци</w:t>
      </w:r>
      <w:r>
        <w:rPr>
          <w:sz w:val="26"/>
        </w:rPr>
        <w:t>ю</w:t>
      </w:r>
      <w:r>
        <w:rPr>
          <w:sz w:val="26"/>
        </w:rPr>
        <w:t xml:space="preserve"> системы видеонаблюдения, устройство наружного освещения, оборудование помещения помещени</w:t>
      </w:r>
      <w:r>
        <w:rPr>
          <w:sz w:val="26"/>
        </w:rPr>
        <w:t>й</w:t>
      </w:r>
      <w:r>
        <w:rPr>
          <w:sz w:val="26"/>
        </w:rPr>
        <w:t xml:space="preserve"> охраны, </w:t>
      </w:r>
      <w:r>
        <w:rPr>
          <w:sz w:val="26"/>
        </w:rPr>
        <w:t xml:space="preserve">на </w:t>
      </w:r>
      <w:r>
        <w:rPr>
          <w:sz w:val="26"/>
        </w:rPr>
        <w:t>выполнение работ по</w:t>
      </w:r>
      <w:r>
        <w:rPr>
          <w:sz w:val="26"/>
        </w:rPr>
        <w:t xml:space="preserve"> </w:t>
      </w:r>
      <w:r>
        <w:rPr>
          <w:sz w:val="26"/>
        </w:rPr>
        <w:t xml:space="preserve">оборудованию входов в здание КПП, </w:t>
      </w:r>
      <w:r>
        <w:rPr>
          <w:sz w:val="26"/>
        </w:rPr>
        <w:t xml:space="preserve">на </w:t>
      </w:r>
      <w:r>
        <w:rPr>
          <w:sz w:val="26"/>
        </w:rPr>
        <w:t>текущий ремонт с установкой системы контроля доступа</w:t>
      </w:r>
      <w:r>
        <w:rPr>
          <w:sz w:val="26"/>
        </w:rPr>
        <w:t>, приобретение мобильных ограждений</w:t>
      </w:r>
      <w:r>
        <w:rPr>
          <w:sz w:val="26"/>
        </w:rPr>
        <w:t>, ремонт входной группы на стадионе "Экспресс".</w:t>
      </w:r>
    </w:p>
    <w:p w14:paraId="0D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В рамках комплекс</w:t>
      </w:r>
      <w:r>
        <w:rPr>
          <w:sz w:val="26"/>
        </w:rPr>
        <w:t>ов</w:t>
      </w:r>
      <w:r>
        <w:rPr>
          <w:sz w:val="26"/>
        </w:rPr>
        <w:t xml:space="preserve"> процессных мероприятий</w:t>
      </w:r>
      <w:r>
        <w:rPr>
          <w:sz w:val="26"/>
        </w:rPr>
        <w:t xml:space="preserve"> </w:t>
      </w:r>
      <w:r>
        <w:rPr>
          <w:sz w:val="26"/>
        </w:rPr>
        <w:t xml:space="preserve">«Профилактика преступлений и иных правонарушений, противодействие коррупции» </w:t>
      </w:r>
      <w:r>
        <w:rPr>
          <w:sz w:val="26"/>
        </w:rPr>
        <w:t>общий объем ресурсного обеспечения увеличивается на</w:t>
      </w:r>
      <w:r>
        <w:rPr>
          <w:sz w:val="26"/>
        </w:rPr>
        <w:t xml:space="preserve"> 3 850,2 тыс.руб. (с</w:t>
      </w:r>
      <w:r>
        <w:rPr>
          <w:sz w:val="26"/>
        </w:rPr>
        <w:t xml:space="preserve"> </w:t>
      </w:r>
      <w:r>
        <w:rPr>
          <w:sz w:val="26"/>
        </w:rPr>
        <w:t>4 989,</w:t>
      </w:r>
      <w:r>
        <w:rPr>
          <w:sz w:val="26"/>
        </w:rPr>
        <w:t>7 тыс.руб. до 8 839,9 тыс.руб.), в том числе: средства городского бюджета увеличиваются на 2 507,1 тыс.руб. (с 4 544,3 тыс.руб. до 6 964,1 тыс.руб.), средства областного бюджета увеличиваются на 1 343,1 тыс.руб. (с 432,0 тыс.руб. до 1 775,1 тыс.руб.).</w:t>
      </w:r>
    </w:p>
    <w:p w14:paraId="0E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Данное увеличение обусловлено </w:t>
      </w:r>
      <w:r>
        <w:rPr>
          <w:sz w:val="26"/>
        </w:rPr>
        <w:t>потребностью на содержание двух народных дружин.</w:t>
      </w:r>
    </w:p>
    <w:p w14:paraId="0F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В рамках комплекса процессных мероприятий</w:t>
      </w:r>
      <w:r>
        <w:rPr>
          <w:sz w:val="26"/>
        </w:rPr>
        <w:t xml:space="preserve"> </w:t>
      </w:r>
      <w:r>
        <w:rPr>
          <w:sz w:val="26"/>
        </w:rPr>
        <w:t xml:space="preserve">«Профилактика безнадзорности и правонарушений несовершеннолетних, противодействие злоупотреблению наркотиками и их незаконному обороту в городе Великие Луки» </w:t>
      </w:r>
      <w:r>
        <w:rPr>
          <w:sz w:val="26"/>
        </w:rPr>
        <w:t>общий объем ресурсного</w:t>
      </w:r>
      <w:r>
        <w:rPr>
          <w:sz w:val="26"/>
        </w:rPr>
        <w:t xml:space="preserve"> обеспечения у</w:t>
      </w:r>
      <w:r>
        <w:rPr>
          <w:sz w:val="26"/>
        </w:rPr>
        <w:t>величивается</w:t>
      </w:r>
      <w:r>
        <w:rPr>
          <w:sz w:val="26"/>
        </w:rPr>
        <w:t xml:space="preserve"> на</w:t>
      </w:r>
      <w:r>
        <w:rPr>
          <w:sz w:val="26"/>
        </w:rPr>
        <w:t xml:space="preserve"> 2 185,1 тыс.руб. (с 6 952,2 тыс.руб. до 9 137,3 тыс.руб.) за счет средств городского бюджета.</w:t>
      </w:r>
    </w:p>
    <w:p w14:paraId="10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Общий объем ресурсного обеспечения </w:t>
      </w:r>
      <w:r>
        <w:rPr>
          <w:sz w:val="26"/>
        </w:rPr>
        <w:t>Программы</w:t>
      </w:r>
      <w:r>
        <w:rPr>
          <w:sz w:val="26"/>
        </w:rPr>
        <w:t xml:space="preserve"> на 2025-2030 годы составляет </w:t>
      </w:r>
      <w:r>
        <w:rPr>
          <w:sz w:val="26"/>
        </w:rPr>
        <w:t>205 563,8</w:t>
      </w:r>
      <w:r>
        <w:rPr>
          <w:sz w:val="26"/>
        </w:rPr>
        <w:t xml:space="preserve"> тыс.руб </w:t>
      </w:r>
      <w:r>
        <w:rPr>
          <w:sz w:val="26"/>
        </w:rPr>
        <w:t xml:space="preserve">(областной бюджет </w:t>
      </w:r>
      <w:r>
        <w:rPr>
          <w:sz w:val="26"/>
        </w:rPr>
        <w:t>1 775,1</w:t>
      </w:r>
      <w:r>
        <w:rPr>
          <w:sz w:val="26"/>
        </w:rPr>
        <w:t xml:space="preserve"> тыс.руб., </w:t>
      </w:r>
      <w:r>
        <w:rPr>
          <w:sz w:val="26"/>
        </w:rPr>
        <w:t>городской</w:t>
      </w:r>
      <w:r>
        <w:rPr>
          <w:sz w:val="26"/>
        </w:rPr>
        <w:t xml:space="preserve"> бюджет </w:t>
      </w:r>
      <w:r>
        <w:rPr>
          <w:sz w:val="26"/>
        </w:rPr>
        <w:t>203 788,7</w:t>
      </w:r>
      <w:r>
        <w:rPr>
          <w:sz w:val="26"/>
        </w:rPr>
        <w:t xml:space="preserve"> тыс.руб</w:t>
      </w:r>
      <w:r>
        <w:rPr>
          <w:sz w:val="26"/>
        </w:rPr>
        <w:t>.), в том числе:</w:t>
      </w:r>
    </w:p>
    <w:p w14:paraId="11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2025 год в объеме </w:t>
      </w:r>
      <w:r>
        <w:rPr>
          <w:sz w:val="26"/>
        </w:rPr>
        <w:t>49 955,9</w:t>
      </w:r>
      <w:r>
        <w:rPr>
          <w:sz w:val="26"/>
        </w:rPr>
        <w:t xml:space="preserve"> тыс.руб. (областной бюджет </w:t>
      </w:r>
      <w:r>
        <w:rPr>
          <w:sz w:val="26"/>
        </w:rPr>
        <w:t>875,1</w:t>
      </w:r>
      <w:r>
        <w:rPr>
          <w:sz w:val="26"/>
        </w:rPr>
        <w:t xml:space="preserve"> тыс.руб., </w:t>
      </w:r>
      <w:r>
        <w:rPr>
          <w:sz w:val="26"/>
        </w:rPr>
        <w:t>городской</w:t>
      </w:r>
      <w:r>
        <w:rPr>
          <w:sz w:val="26"/>
        </w:rPr>
        <w:t xml:space="preserve"> бюджет </w:t>
      </w:r>
      <w:r>
        <w:rPr>
          <w:sz w:val="26"/>
        </w:rPr>
        <w:t>49 080,8</w:t>
      </w:r>
      <w:r>
        <w:rPr>
          <w:sz w:val="26"/>
        </w:rPr>
        <w:t xml:space="preserve"> тыс.руб.);</w:t>
      </w:r>
    </w:p>
    <w:p w14:paraId="12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2026 год в объеме </w:t>
      </w:r>
      <w:r>
        <w:rPr>
          <w:sz w:val="26"/>
        </w:rPr>
        <w:t>34 080,3</w:t>
      </w:r>
      <w:r>
        <w:rPr>
          <w:sz w:val="26"/>
        </w:rPr>
        <w:t xml:space="preserve"> тыс.руб. (областной бюджет </w:t>
      </w:r>
      <w:r>
        <w:rPr>
          <w:sz w:val="26"/>
        </w:rPr>
        <w:t>300,0</w:t>
      </w:r>
      <w:r>
        <w:rPr>
          <w:sz w:val="26"/>
        </w:rPr>
        <w:t xml:space="preserve"> тыс.руб., </w:t>
      </w:r>
      <w:r>
        <w:rPr>
          <w:sz w:val="26"/>
        </w:rPr>
        <w:t>городской</w:t>
      </w:r>
      <w:r>
        <w:rPr>
          <w:sz w:val="26"/>
        </w:rPr>
        <w:t xml:space="preserve"> бюджет </w:t>
      </w:r>
      <w:r>
        <w:rPr>
          <w:sz w:val="26"/>
        </w:rPr>
        <w:t>33 780,3</w:t>
      </w:r>
      <w:r>
        <w:rPr>
          <w:sz w:val="26"/>
        </w:rPr>
        <w:t xml:space="preserve"> тыс.руб.);</w:t>
      </w:r>
    </w:p>
    <w:p w14:paraId="13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2027 год в объеме </w:t>
      </w:r>
      <w:r>
        <w:rPr>
          <w:sz w:val="26"/>
        </w:rPr>
        <w:t>34 080,3 тыс.руб. (областной бюджет 300,0 тыс.руб., городской бюджет 33 780,3 тыс.руб.);</w:t>
      </w:r>
    </w:p>
    <w:p w14:paraId="14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2028 год в объеме </w:t>
      </w:r>
      <w:r>
        <w:rPr>
          <w:sz w:val="26"/>
        </w:rPr>
        <w:t>34 080,3</w:t>
      </w:r>
      <w:r>
        <w:rPr>
          <w:sz w:val="26"/>
        </w:rPr>
        <w:t xml:space="preserve"> тыс.руб. (областной бюджет </w:t>
      </w:r>
      <w:r>
        <w:rPr>
          <w:sz w:val="26"/>
        </w:rPr>
        <w:t>300,0</w:t>
      </w:r>
      <w:r>
        <w:rPr>
          <w:sz w:val="26"/>
        </w:rPr>
        <w:t xml:space="preserve"> тыс.руб., городской бюджет </w:t>
      </w:r>
      <w:r>
        <w:rPr>
          <w:sz w:val="26"/>
        </w:rPr>
        <w:t>33 780,3</w:t>
      </w:r>
      <w:r>
        <w:rPr>
          <w:sz w:val="26"/>
        </w:rPr>
        <w:t xml:space="preserve"> тыс.руб.);</w:t>
      </w:r>
    </w:p>
    <w:p w14:paraId="15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2029 год в объеме </w:t>
      </w:r>
      <w:bookmarkStart w:id="3" w:name="_Hlk193986077"/>
      <w:r>
        <w:rPr>
          <w:sz w:val="26"/>
        </w:rPr>
        <w:t>26</w:t>
      </w:r>
      <w:r>
        <w:rPr>
          <w:sz w:val="26"/>
        </w:rPr>
        <w:t xml:space="preserve"> </w:t>
      </w:r>
      <w:r>
        <w:rPr>
          <w:sz w:val="26"/>
        </w:rPr>
        <w:t>683,5</w:t>
      </w:r>
      <w:r>
        <w:rPr>
          <w:sz w:val="26"/>
        </w:rPr>
        <w:t xml:space="preserve"> </w:t>
      </w:r>
      <w:bookmarkEnd w:id="3"/>
      <w:r>
        <w:rPr>
          <w:sz w:val="26"/>
        </w:rPr>
        <w:t>тыс.руб. (</w:t>
      </w:r>
      <w:r>
        <w:rPr>
          <w:sz w:val="26"/>
        </w:rPr>
        <w:t>городской</w:t>
      </w:r>
      <w:r>
        <w:rPr>
          <w:sz w:val="26"/>
        </w:rPr>
        <w:t xml:space="preserve"> бюджет </w:t>
      </w:r>
      <w:r>
        <w:rPr>
          <w:sz w:val="26"/>
        </w:rPr>
        <w:t>26</w:t>
      </w:r>
      <w:r>
        <w:rPr>
          <w:sz w:val="26"/>
        </w:rPr>
        <w:t xml:space="preserve"> </w:t>
      </w:r>
      <w:r>
        <w:rPr>
          <w:sz w:val="26"/>
        </w:rPr>
        <w:t xml:space="preserve">683,5 </w:t>
      </w:r>
      <w:r>
        <w:rPr>
          <w:sz w:val="26"/>
        </w:rPr>
        <w:t xml:space="preserve">тыс.руб.); </w:t>
      </w:r>
    </w:p>
    <w:p w14:paraId="16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 xml:space="preserve">2030 год в объеме </w:t>
      </w:r>
      <w:r>
        <w:rPr>
          <w:sz w:val="26"/>
        </w:rPr>
        <w:t>26</w:t>
      </w:r>
      <w:r>
        <w:rPr>
          <w:sz w:val="26"/>
        </w:rPr>
        <w:t xml:space="preserve"> </w:t>
      </w:r>
      <w:r>
        <w:rPr>
          <w:sz w:val="26"/>
        </w:rPr>
        <w:t>683,5</w:t>
      </w:r>
      <w:r>
        <w:rPr>
          <w:sz w:val="26"/>
        </w:rPr>
        <w:t xml:space="preserve"> тыс.руб. (</w:t>
      </w:r>
      <w:r>
        <w:rPr>
          <w:sz w:val="26"/>
        </w:rPr>
        <w:t>городской</w:t>
      </w:r>
      <w:r>
        <w:rPr>
          <w:sz w:val="26"/>
        </w:rPr>
        <w:t xml:space="preserve"> бюджет </w:t>
      </w:r>
      <w:r>
        <w:rPr>
          <w:sz w:val="26"/>
        </w:rPr>
        <w:t>26</w:t>
      </w:r>
      <w:r>
        <w:rPr>
          <w:sz w:val="26"/>
        </w:rPr>
        <w:t xml:space="preserve"> </w:t>
      </w:r>
      <w:r>
        <w:rPr>
          <w:sz w:val="26"/>
        </w:rPr>
        <w:t xml:space="preserve">683,5 </w:t>
      </w:r>
      <w:r>
        <w:rPr>
          <w:sz w:val="26"/>
        </w:rPr>
        <w:t>тыс.руб.).</w:t>
      </w:r>
    </w:p>
    <w:p w14:paraId="17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Ресурсное обеспечение муниципальной программы за счет средств вышестоящих бюджетов носит прогнозный характер.</w:t>
      </w:r>
    </w:p>
    <w:p w14:paraId="18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Объемы финансового обеспечения на 202</w:t>
      </w:r>
      <w:r>
        <w:rPr>
          <w:sz w:val="26"/>
        </w:rPr>
        <w:t>9</w:t>
      </w:r>
      <w:r>
        <w:rPr>
          <w:sz w:val="26"/>
        </w:rPr>
        <w:t>-2030 гг. не корректируются.</w:t>
      </w:r>
    </w:p>
    <w:p w14:paraId="19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В плане-графике муниципальной программы на 2025 год предусмотрен детальный перечень программных мероприятий с участниками и исполнителями.</w:t>
      </w:r>
    </w:p>
    <w:p w14:paraId="1A000000">
      <w:pPr>
        <w:pStyle w:val="Style_1"/>
        <w:widowControl w:val="1"/>
        <w:ind w:firstLine="708"/>
        <w:jc w:val="both"/>
        <w:rPr>
          <w:sz w:val="26"/>
        </w:rPr>
      </w:pPr>
      <w:r>
        <w:rPr>
          <w:sz w:val="26"/>
        </w:rPr>
        <w:t>Мероприятия, предусмотренные программой, соответствуют вопросам местного значения городского округа, определенным Федеральным законом от 06 октября 2003 года № 131-ФЗ «Об общих принципах организации местного самоуправления в Российской Федерации», Уставу муниципального образования «Город Великие Луки».</w:t>
      </w:r>
    </w:p>
    <w:p w14:paraId="1B000000">
      <w:pPr>
        <w:pStyle w:val="Style_1"/>
        <w:widowControl w:val="1"/>
        <w:ind/>
        <w:jc w:val="both"/>
        <w:rPr>
          <w:sz w:val="26"/>
        </w:rPr>
      </w:pPr>
    </w:p>
    <w:p w14:paraId="1C000000">
      <w:pPr>
        <w:pStyle w:val="Style_1"/>
        <w:widowControl w:val="1"/>
        <w:ind/>
        <w:jc w:val="both"/>
      </w:pPr>
    </w:p>
    <w:p w14:paraId="1D000000">
      <w:pPr>
        <w:widowControl w:val="1"/>
        <w:tabs>
          <w:tab w:leader="none" w:pos="709" w:val="left"/>
          <w:tab w:leader="none" w:pos="3615" w:val="left"/>
        </w:tabs>
        <w:ind/>
        <w:jc w:val="both"/>
        <w:rPr>
          <w:sz w:val="26"/>
        </w:rPr>
      </w:pPr>
      <w:r>
        <w:rPr>
          <w:sz w:val="26"/>
        </w:rPr>
        <w:t xml:space="preserve"> </w:t>
      </w:r>
    </w:p>
    <w:p w14:paraId="1E000000">
      <w:pPr>
        <w:widowControl w:val="1"/>
        <w:ind/>
        <w:jc w:val="both"/>
        <w:rPr>
          <w:sz w:val="26"/>
        </w:rPr>
      </w:pPr>
      <w:r>
        <w:rPr>
          <w:sz w:val="26"/>
        </w:rPr>
        <w:t>И.о. н</w:t>
      </w:r>
      <w:r>
        <w:rPr>
          <w:sz w:val="26"/>
        </w:rPr>
        <w:t>ачальник</w:t>
      </w:r>
      <w:r>
        <w:rPr>
          <w:sz w:val="26"/>
        </w:rPr>
        <w:t>а</w:t>
      </w:r>
      <w:r>
        <w:rPr>
          <w:sz w:val="26"/>
        </w:rPr>
        <w:t xml:space="preserve"> управления по профилактике</w:t>
      </w:r>
    </w:p>
    <w:p w14:paraId="1F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правонарушений </w:t>
      </w:r>
      <w:r>
        <w:rPr>
          <w:sz w:val="26"/>
        </w:rPr>
        <w:t xml:space="preserve">Администрации </w:t>
      </w:r>
    </w:p>
    <w:p w14:paraId="20000000">
      <w:pPr>
        <w:widowControl w:val="1"/>
        <w:ind/>
        <w:jc w:val="both"/>
        <w:rPr>
          <w:sz w:val="26"/>
        </w:rPr>
      </w:pPr>
      <w:r>
        <w:rPr>
          <w:sz w:val="26"/>
        </w:rPr>
        <w:t xml:space="preserve">города </w:t>
      </w:r>
      <w:r>
        <w:rPr>
          <w:sz w:val="26"/>
        </w:rPr>
        <w:t xml:space="preserve">   </w:t>
      </w:r>
      <w:r>
        <w:rPr>
          <w:sz w:val="26"/>
        </w:rPr>
        <w:t xml:space="preserve">Великие Луки </w:t>
      </w:r>
      <w:r>
        <w:rPr>
          <w:sz w:val="26"/>
        </w:rPr>
        <w:tab/>
      </w:r>
      <w:r>
        <w:rPr>
          <w:sz w:val="26"/>
        </w:rPr>
        <w:t xml:space="preserve">                                                                              </w:t>
      </w:r>
      <w:r>
        <w:rPr>
          <w:sz w:val="26"/>
        </w:rPr>
        <w:t>В.Г. Марченков</w:t>
      </w:r>
      <w:r>
        <w:rPr>
          <w:sz w:val="26"/>
        </w:rPr>
        <w:t xml:space="preserve"> 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      </w:t>
      </w:r>
    </w:p>
    <w:p w14:paraId="21000000">
      <w:pPr>
        <w:widowControl w:val="1"/>
        <w:ind/>
        <w:jc w:val="both"/>
        <w:rPr>
          <w:sz w:val="26"/>
        </w:rPr>
      </w:pPr>
    </w:p>
    <w:p w14:paraId="22000000">
      <w:pPr>
        <w:widowControl w:val="1"/>
        <w:ind/>
        <w:jc w:val="both"/>
        <w:rPr>
          <w:sz w:val="26"/>
        </w:rPr>
      </w:pPr>
    </w:p>
    <w:p w14:paraId="23000000">
      <w:pPr>
        <w:widowControl w:val="1"/>
        <w:ind/>
        <w:jc w:val="both"/>
      </w:pPr>
    </w:p>
    <w:p w14:paraId="24000000">
      <w:pPr>
        <w:widowControl w:val="1"/>
        <w:ind/>
        <w:jc w:val="both"/>
      </w:pPr>
    </w:p>
    <w:p w14:paraId="25000000">
      <w:pPr>
        <w:widowControl w:val="1"/>
        <w:ind/>
        <w:jc w:val="both"/>
      </w:pPr>
    </w:p>
    <w:p w14:paraId="26000000">
      <w:pPr>
        <w:widowControl w:val="1"/>
        <w:ind/>
        <w:jc w:val="both"/>
      </w:pPr>
    </w:p>
    <w:p w14:paraId="27000000">
      <w:pPr>
        <w:widowControl w:val="1"/>
        <w:ind/>
        <w:jc w:val="both"/>
      </w:pPr>
    </w:p>
    <w:p w14:paraId="28000000">
      <w:pPr>
        <w:widowControl w:val="1"/>
        <w:ind/>
        <w:jc w:val="both"/>
      </w:pPr>
    </w:p>
    <w:p w14:paraId="29000000">
      <w:pPr>
        <w:widowControl w:val="1"/>
        <w:ind/>
        <w:jc w:val="both"/>
      </w:pPr>
    </w:p>
    <w:p w14:paraId="2A000000">
      <w:pPr>
        <w:widowControl w:val="1"/>
        <w:ind/>
        <w:jc w:val="both"/>
      </w:pPr>
    </w:p>
    <w:p w14:paraId="2B000000">
      <w:pPr>
        <w:widowControl w:val="1"/>
        <w:ind/>
        <w:jc w:val="both"/>
      </w:pPr>
    </w:p>
    <w:p w14:paraId="2C000000">
      <w:pPr>
        <w:widowControl w:val="1"/>
        <w:ind/>
        <w:jc w:val="both"/>
      </w:pPr>
    </w:p>
    <w:p w14:paraId="2D000000">
      <w:pPr>
        <w:widowControl w:val="1"/>
        <w:ind/>
        <w:jc w:val="both"/>
      </w:pPr>
    </w:p>
    <w:p w14:paraId="2E000000">
      <w:pPr>
        <w:widowControl w:val="1"/>
        <w:ind/>
        <w:jc w:val="both"/>
      </w:pPr>
    </w:p>
    <w:p w14:paraId="2F000000">
      <w:pPr>
        <w:widowControl w:val="1"/>
        <w:ind/>
        <w:jc w:val="both"/>
      </w:pPr>
    </w:p>
    <w:p w14:paraId="30000000">
      <w:pPr>
        <w:widowControl w:val="1"/>
        <w:ind/>
        <w:jc w:val="both"/>
      </w:pPr>
    </w:p>
    <w:p w14:paraId="31000000">
      <w:pPr>
        <w:widowControl w:val="1"/>
        <w:ind/>
        <w:jc w:val="both"/>
      </w:pPr>
    </w:p>
    <w:p w14:paraId="32000000">
      <w:pPr>
        <w:widowControl w:val="1"/>
        <w:ind/>
        <w:jc w:val="both"/>
      </w:pPr>
    </w:p>
    <w:p w14:paraId="33000000">
      <w:pPr>
        <w:widowControl w:val="1"/>
        <w:ind/>
        <w:jc w:val="both"/>
        <w:rPr>
          <w:sz w:val="28"/>
        </w:rPr>
      </w:pPr>
      <w:r>
        <w:rPr>
          <w:sz w:val="20"/>
        </w:rPr>
        <w:t>Исп.</w:t>
      </w:r>
      <w:r>
        <w:rPr>
          <w:sz w:val="20"/>
        </w:rPr>
        <w:t>Марченков В.Г.</w:t>
      </w:r>
    </w:p>
    <w:p w14:paraId="34000000">
      <w:pPr>
        <w:widowControl w:val="1"/>
        <w:ind/>
        <w:jc w:val="both"/>
        <w:rPr>
          <w:sz w:val="20"/>
        </w:rPr>
      </w:pPr>
      <w:r>
        <w:rPr>
          <w:sz w:val="20"/>
        </w:rPr>
        <w:t>т.46578</w:t>
      </w:r>
    </w:p>
    <w:p w14:paraId="35000000">
      <w:pPr>
        <w:rPr>
          <w:sz w:val="27"/>
        </w:rPr>
      </w:pPr>
    </w:p>
    <w:sectPr>
      <w:pgSz w:h="16838" w:orient="portrait" w:w="11906"/>
      <w:pgMar w:bottom="851" w:footer="708" w:gutter="0" w:header="708" w:left="1260" w:right="707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ConsPlusNormal"/>
    <w:link w:val="Style_9_ch"/>
    <w:rPr>
      <w:sz w:val="26"/>
    </w:rPr>
  </w:style>
  <w:style w:styleId="Style_9_ch" w:type="character">
    <w:name w:val="ConsPlusNormal"/>
    <w:link w:val="Style_9"/>
    <w:rPr>
      <w:sz w:val="26"/>
    </w:rPr>
  </w:style>
  <w:style w:styleId="Style_10" w:type="paragraph">
    <w:name w:val="ConsPlusCell"/>
    <w:link w:val="Style_10_ch"/>
    <w:rPr>
      <w:rFonts w:ascii="Arial" w:hAnsi="Arial"/>
    </w:rPr>
  </w:style>
  <w:style w:styleId="Style_10_ch" w:type="character">
    <w:name w:val="ConsPlusCell"/>
    <w:link w:val="Style_10"/>
    <w:rPr>
      <w:rFonts w:ascii="Arial" w:hAnsi="Arial"/>
    </w:rPr>
  </w:style>
  <w:style w:styleId="Style_11" w:type="paragraph">
    <w:name w:val="WW-Absatz-Standardschriftart1"/>
    <w:link w:val="Style_11_ch"/>
  </w:style>
  <w:style w:styleId="Style_11_ch" w:type="character">
    <w:name w:val="WW-Absatz-Standardschriftart1"/>
    <w:link w:val="Style_11"/>
  </w:style>
  <w:style w:styleId="Style_12" w:type="paragraph">
    <w:name w:val="WW-Absatz-Standardschriftart111"/>
    <w:link w:val="Style_12_ch"/>
  </w:style>
  <w:style w:styleId="Style_12_ch" w:type="character">
    <w:name w:val="WW-Absatz-Standardschriftart111"/>
    <w:link w:val="Style_12"/>
  </w:style>
  <w:style w:styleId="Style_13" w:type="paragraph">
    <w:name w:val="toc 3"/>
    <w:next w:val="Style_2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" w:type="paragraph">
    <w:name w:val="No Spacing"/>
    <w:link w:val="Style_1_ch"/>
    <w:rPr>
      <w:sz w:val="28"/>
    </w:rPr>
  </w:style>
  <w:style w:styleId="Style_1_ch" w:type="character">
    <w:name w:val="No Spacing"/>
    <w:link w:val="Style_1"/>
    <w:rPr>
      <w:sz w:val="28"/>
    </w:rPr>
  </w:style>
  <w:style w:styleId="Style_14" w:type="paragraph">
    <w:name w:val="Balloon Text"/>
    <w:basedOn w:val="Style_2"/>
    <w:link w:val="Style_14_ch"/>
    <w:rPr>
      <w:rFonts w:ascii="Tahoma" w:hAnsi="Tahoma"/>
      <w:sz w:val="16"/>
    </w:rPr>
  </w:style>
  <w:style w:styleId="Style_14_ch" w:type="character">
    <w:name w:val="Balloon Text"/>
    <w:basedOn w:val="Style_2_ch"/>
    <w:link w:val="Style_14"/>
    <w:rPr>
      <w:rFonts w:ascii="Tahoma" w:hAnsi="Tahoma"/>
      <w:sz w:val="16"/>
    </w:rPr>
  </w:style>
  <w:style w:styleId="Style_15" w:type="paragraph">
    <w:name w:val="heading 5"/>
    <w:next w:val="Style_2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2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List Paragraph"/>
    <w:basedOn w:val="Style_2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Normal (Web)"/>
    <w:basedOn w:val="Style_2"/>
    <w:link w:val="Style_24_ch"/>
    <w:pPr>
      <w:widowControl w:val="0"/>
      <w:spacing w:after="100" w:before="100"/>
      <w:ind/>
    </w:pPr>
    <w:rPr>
      <w:rFonts w:ascii="MS Mincho" w:hAnsi="MS Mincho"/>
    </w:rPr>
  </w:style>
  <w:style w:styleId="Style_24_ch" w:type="character">
    <w:name w:val="Normal (Web)"/>
    <w:basedOn w:val="Style_2_ch"/>
    <w:link w:val="Style_24"/>
    <w:rPr>
      <w:rFonts w:ascii="MS Mincho" w:hAnsi="MS Mincho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Font Style11"/>
    <w:link w:val="Style_26_ch"/>
    <w:rPr>
      <w:rFonts w:ascii="Times New Roman" w:hAnsi="Times New Roman"/>
      <w:sz w:val="22"/>
    </w:rPr>
  </w:style>
  <w:style w:styleId="Style_26_ch" w:type="character">
    <w:name w:val="Font Style11"/>
    <w:link w:val="Style_26"/>
    <w:rPr>
      <w:rFonts w:ascii="Times New Roman" w:hAnsi="Times New Roman"/>
      <w:sz w:val="22"/>
    </w:rPr>
  </w:style>
  <w:style w:styleId="Style_27" w:type="paragraph">
    <w:name w:val="Нормальный (таблица)"/>
    <w:basedOn w:val="Style_2"/>
    <w:next w:val="Style_2"/>
    <w:link w:val="Style_27_ch"/>
    <w:pPr>
      <w:widowControl w:val="0"/>
      <w:ind/>
      <w:jc w:val="both"/>
    </w:pPr>
    <w:rPr>
      <w:rFonts w:ascii="Arial" w:hAnsi="Arial"/>
    </w:rPr>
  </w:style>
  <w:style w:styleId="Style_27_ch" w:type="character">
    <w:name w:val="Нормальный (таблица)"/>
    <w:basedOn w:val="Style_2_ch"/>
    <w:link w:val="Style_27"/>
    <w:rPr>
      <w:rFonts w:ascii="Arial" w:hAnsi="Arial"/>
    </w:rPr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2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3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2025-12-12T14:03:38Z</dcterms:created>
  <dcterms:modified xsi:type="dcterms:W3CDTF">2025-12-12T14:03:38Z</dcterms:modified>
</cp:coreProperties>
</file>